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DAA" w:rsidRPr="00D53DAA" w:rsidRDefault="00D53DAA" w:rsidP="00D53DAA">
      <w:pPr>
        <w:spacing w:after="0" w:line="435" w:lineRule="atLeast"/>
        <w:textAlignment w:val="baseline"/>
        <w:outlineLvl w:val="0"/>
        <w:rPr>
          <w:rFonts w:ascii="inherit" w:eastAsia="Times New Roman" w:hAnsi="inherit" w:cs="Times New Roman"/>
          <w:b/>
          <w:bCs/>
          <w:color w:val="333333"/>
          <w:spacing w:val="2"/>
          <w:kern w:val="36"/>
          <w:sz w:val="44"/>
          <w:szCs w:val="44"/>
          <w:lang w:eastAsia="en-IE"/>
        </w:rPr>
      </w:pPr>
      <w:r w:rsidRPr="00D53DAA">
        <w:rPr>
          <w:rFonts w:ascii="inherit" w:eastAsia="Times New Roman" w:hAnsi="inherit" w:cs="Times New Roman"/>
          <w:b/>
          <w:bCs/>
          <w:color w:val="333333"/>
          <w:spacing w:val="2"/>
          <w:kern w:val="36"/>
          <w:sz w:val="44"/>
          <w:szCs w:val="44"/>
          <w:lang w:eastAsia="en-IE"/>
        </w:rPr>
        <w:t>Circular 10/14: Initiatives to assist SMEs in Public Procurement</w:t>
      </w:r>
    </w:p>
    <w:p w:rsidR="00D53DAA" w:rsidRDefault="00D53DAA" w:rsidP="00D53DAA">
      <w:pPr>
        <w:spacing w:after="0" w:line="270" w:lineRule="atLeast"/>
        <w:textAlignment w:val="baseline"/>
        <w:rPr>
          <w:rFonts w:ascii="inherit" w:eastAsia="Times New Roman" w:hAnsi="inherit" w:cs="Times New Roman"/>
          <w:color w:val="333333"/>
          <w:sz w:val="24"/>
          <w:szCs w:val="24"/>
          <w:bdr w:val="none" w:sz="0" w:space="0" w:color="auto" w:frame="1"/>
          <w:lang w:eastAsia="en-IE"/>
        </w:rPr>
      </w:pPr>
      <w:r>
        <w:rPr>
          <w:rFonts w:ascii="inherit" w:eastAsia="Times New Roman" w:hAnsi="inherit" w:cs="Times New Roman"/>
          <w:color w:val="333333"/>
          <w:sz w:val="24"/>
          <w:szCs w:val="24"/>
          <w:bdr w:val="none" w:sz="0" w:space="0" w:color="auto" w:frame="1"/>
          <w:lang w:eastAsia="en-IE"/>
        </w:rPr>
        <w:t xml:space="preserve"> </w:t>
      </w:r>
    </w:p>
    <w:p w:rsidR="00D53DAA" w:rsidRPr="00D53DAA" w:rsidRDefault="00D53DAA" w:rsidP="00D53DAA">
      <w:pPr>
        <w:spacing w:after="0" w:line="270" w:lineRule="atLeast"/>
        <w:textAlignment w:val="baseline"/>
        <w:rPr>
          <w:rFonts w:ascii="inherit" w:eastAsia="Times New Roman" w:hAnsi="inherit" w:cs="Times New Roman"/>
          <w:color w:val="333333"/>
          <w:sz w:val="23"/>
          <w:szCs w:val="23"/>
          <w:lang w:eastAsia="en-IE"/>
        </w:rPr>
      </w:pPr>
      <w:r w:rsidRPr="00D53DAA">
        <w:rPr>
          <w:rFonts w:ascii="inherit" w:eastAsia="Times New Roman" w:hAnsi="inherit" w:cs="Times New Roman"/>
          <w:color w:val="333333"/>
          <w:sz w:val="24"/>
          <w:szCs w:val="24"/>
          <w:bdr w:val="none" w:sz="0" w:space="0" w:color="auto" w:frame="1"/>
          <w:lang w:eastAsia="en-IE"/>
        </w:rPr>
        <w:t>In the context of the reform of the Public Service and the establishment of the Office of Government Procurement, it has been decided to update and strengthen measures aimed at facilitating SME participation in Public Procurement in order to reinforce their application across the public sector. This circular therefore replaces Department of Finance Circular 10/10 and applies to all public sector bodies. The Capital Works Management Framework (CWMF) suite of guidance, standard contracts and generic template documents will continue to apply to works and works related services as set out in Circular 06/10. They are available to download from the website </w:t>
      </w:r>
      <w:hyperlink r:id="rId5" w:history="1">
        <w:r w:rsidRPr="00D53DAA">
          <w:rPr>
            <w:rFonts w:ascii="inherit" w:eastAsia="Times New Roman" w:hAnsi="inherit" w:cs="Times New Roman"/>
            <w:b/>
            <w:bCs/>
            <w:color w:val="095370"/>
            <w:sz w:val="23"/>
            <w:szCs w:val="23"/>
            <w:bdr w:val="none" w:sz="0" w:space="0" w:color="auto" w:frame="1"/>
            <w:lang w:eastAsia="en-IE"/>
          </w:rPr>
          <w:t>www.constructionprocurement.gov.ie</w:t>
        </w:r>
      </w:hyperlink>
    </w:p>
    <w:p w:rsidR="00D53DAA" w:rsidRPr="00D53DAA" w:rsidRDefault="00D53DAA" w:rsidP="00D53DAA">
      <w:pPr>
        <w:spacing w:after="0" w:line="270" w:lineRule="atLeast"/>
        <w:textAlignment w:val="baseline"/>
        <w:rPr>
          <w:rFonts w:ascii="inherit" w:eastAsia="Times New Roman" w:hAnsi="inherit" w:cs="Times New Roman"/>
          <w:color w:val="333333"/>
          <w:sz w:val="23"/>
          <w:szCs w:val="23"/>
          <w:lang w:eastAsia="en-IE"/>
        </w:rPr>
      </w:pPr>
      <w:r w:rsidRPr="00D53DAA">
        <w:rPr>
          <w:rFonts w:ascii="inherit" w:eastAsia="Times New Roman" w:hAnsi="inherit" w:cs="Times New Roman"/>
          <w:color w:val="333333"/>
          <w:sz w:val="24"/>
          <w:szCs w:val="24"/>
          <w:bdr w:val="none" w:sz="0" w:space="0" w:color="auto" w:frame="1"/>
          <w:lang w:eastAsia="en-IE"/>
        </w:rPr>
        <w:t>To view Circular 10/14 in full please click </w:t>
      </w:r>
      <w:hyperlink r:id="rId6" w:tgtFrame="_blank" w:tooltip="Circular 10/14: Initiatives to assist SMEs in Public Procurement" w:history="1">
        <w:r w:rsidRPr="00D53DAA">
          <w:rPr>
            <w:rFonts w:ascii="inherit" w:eastAsia="Times New Roman" w:hAnsi="inherit" w:cs="Times New Roman"/>
            <w:b/>
            <w:bCs/>
            <w:color w:val="095370"/>
            <w:sz w:val="23"/>
            <w:szCs w:val="23"/>
            <w:bdr w:val="none" w:sz="0" w:space="0" w:color="auto" w:frame="1"/>
            <w:lang w:eastAsia="en-IE"/>
          </w:rPr>
          <w:t>here</w:t>
        </w:r>
      </w:hyperlink>
      <w:r w:rsidRPr="00D53DAA">
        <w:rPr>
          <w:rFonts w:ascii="inherit" w:eastAsia="Times New Roman" w:hAnsi="inherit" w:cs="Times New Roman"/>
          <w:color w:val="333333"/>
          <w:sz w:val="24"/>
          <w:szCs w:val="24"/>
          <w:bdr w:val="none" w:sz="0" w:space="0" w:color="auto" w:frame="1"/>
          <w:lang w:eastAsia="en-IE"/>
        </w:rPr>
        <w:t>.</w:t>
      </w:r>
    </w:p>
    <w:p w:rsidR="00D53DAA" w:rsidRPr="00D53DAA" w:rsidRDefault="00D53DAA" w:rsidP="00D53DAA">
      <w:pPr>
        <w:spacing w:before="150" w:after="150" w:line="270" w:lineRule="atLeast"/>
        <w:textAlignment w:val="baseline"/>
        <w:rPr>
          <w:rFonts w:ascii="inherit" w:eastAsia="Times New Roman" w:hAnsi="inherit" w:cs="Times New Roman"/>
          <w:color w:val="333333"/>
          <w:sz w:val="23"/>
          <w:szCs w:val="23"/>
          <w:lang w:eastAsia="en-IE"/>
        </w:rPr>
      </w:pPr>
      <w:r w:rsidRPr="00D53DAA">
        <w:rPr>
          <w:rFonts w:ascii="inherit" w:eastAsia="Times New Roman" w:hAnsi="inherit" w:cs="Times New Roman"/>
          <w:color w:val="333333"/>
          <w:sz w:val="23"/>
          <w:szCs w:val="23"/>
          <w:lang w:eastAsia="en-IE"/>
        </w:rPr>
        <w:t> </w:t>
      </w:r>
    </w:p>
    <w:p w:rsidR="000A5E4A" w:rsidRDefault="000A5E4A">
      <w:bookmarkStart w:id="0" w:name="_GoBack"/>
      <w:bookmarkEnd w:id="0"/>
    </w:p>
    <w:sectPr w:rsidR="000A5E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DAA"/>
    <w:rsid w:val="000A5E4A"/>
    <w:rsid w:val="00D53D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382778">
      <w:bodyDiv w:val="1"/>
      <w:marLeft w:val="0"/>
      <w:marRight w:val="0"/>
      <w:marTop w:val="0"/>
      <w:marBottom w:val="0"/>
      <w:divBdr>
        <w:top w:val="none" w:sz="0" w:space="0" w:color="auto"/>
        <w:left w:val="none" w:sz="0" w:space="0" w:color="auto"/>
        <w:bottom w:val="none" w:sz="0" w:space="0" w:color="auto"/>
        <w:right w:val="none" w:sz="0" w:space="0" w:color="auto"/>
      </w:divBdr>
      <w:divsChild>
        <w:div w:id="977682377">
          <w:marLeft w:val="150"/>
          <w:marRight w:val="150"/>
          <w:marTop w:val="0"/>
          <w:marBottom w:val="0"/>
          <w:divBdr>
            <w:top w:val="none" w:sz="0" w:space="0" w:color="auto"/>
            <w:left w:val="none" w:sz="0" w:space="0" w:color="auto"/>
            <w:bottom w:val="none" w:sz="0" w:space="0" w:color="auto"/>
            <w:right w:val="none" w:sz="0" w:space="0" w:color="auto"/>
          </w:divBdr>
          <w:divsChild>
            <w:div w:id="51388546">
              <w:marLeft w:val="0"/>
              <w:marRight w:val="0"/>
              <w:marTop w:val="0"/>
              <w:marBottom w:val="0"/>
              <w:divBdr>
                <w:top w:val="none" w:sz="0" w:space="0" w:color="auto"/>
                <w:left w:val="none" w:sz="0" w:space="0" w:color="auto"/>
                <w:bottom w:val="none" w:sz="0" w:space="0" w:color="auto"/>
                <w:right w:val="none" w:sz="0" w:space="0" w:color="auto"/>
              </w:divBdr>
              <w:divsChild>
                <w:div w:id="969671824">
                  <w:marLeft w:val="0"/>
                  <w:marRight w:val="0"/>
                  <w:marTop w:val="0"/>
                  <w:marBottom w:val="0"/>
                  <w:divBdr>
                    <w:top w:val="none" w:sz="0" w:space="0" w:color="auto"/>
                    <w:left w:val="none" w:sz="0" w:space="0" w:color="auto"/>
                    <w:bottom w:val="none" w:sz="0" w:space="0" w:color="auto"/>
                    <w:right w:val="none" w:sz="0" w:space="0" w:color="auto"/>
                  </w:divBdr>
                  <w:divsChild>
                    <w:div w:id="1615750619">
                      <w:marLeft w:val="0"/>
                      <w:marRight w:val="0"/>
                      <w:marTop w:val="0"/>
                      <w:marBottom w:val="0"/>
                      <w:divBdr>
                        <w:top w:val="none" w:sz="0" w:space="0" w:color="auto"/>
                        <w:left w:val="none" w:sz="0" w:space="0" w:color="auto"/>
                        <w:bottom w:val="none" w:sz="0" w:space="0" w:color="auto"/>
                        <w:right w:val="none" w:sz="0" w:space="0" w:color="auto"/>
                      </w:divBdr>
                      <w:divsChild>
                        <w:div w:id="9249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344636">
          <w:marLeft w:val="150"/>
          <w:marRight w:val="150"/>
          <w:marTop w:val="0"/>
          <w:marBottom w:val="0"/>
          <w:divBdr>
            <w:top w:val="none" w:sz="0" w:space="0" w:color="auto"/>
            <w:left w:val="none" w:sz="0" w:space="0" w:color="auto"/>
            <w:bottom w:val="none" w:sz="0" w:space="0" w:color="auto"/>
            <w:right w:val="none" w:sz="0" w:space="0" w:color="auto"/>
          </w:divBdr>
          <w:divsChild>
            <w:div w:id="549341282">
              <w:marLeft w:val="0"/>
              <w:marRight w:val="0"/>
              <w:marTop w:val="0"/>
              <w:marBottom w:val="0"/>
              <w:divBdr>
                <w:top w:val="none" w:sz="0" w:space="0" w:color="auto"/>
                <w:left w:val="none" w:sz="0" w:space="0" w:color="auto"/>
                <w:bottom w:val="none" w:sz="0" w:space="0" w:color="auto"/>
                <w:right w:val="none" w:sz="0" w:space="0" w:color="auto"/>
              </w:divBdr>
              <w:divsChild>
                <w:div w:id="186912616">
                  <w:marLeft w:val="0"/>
                  <w:marRight w:val="0"/>
                  <w:marTop w:val="0"/>
                  <w:marBottom w:val="0"/>
                  <w:divBdr>
                    <w:top w:val="none" w:sz="0" w:space="0" w:color="auto"/>
                    <w:left w:val="none" w:sz="0" w:space="0" w:color="auto"/>
                    <w:bottom w:val="none" w:sz="0" w:space="0" w:color="auto"/>
                    <w:right w:val="none" w:sz="0" w:space="0" w:color="auto"/>
                  </w:divBdr>
                  <w:divsChild>
                    <w:div w:id="1681815684">
                      <w:marLeft w:val="0"/>
                      <w:marRight w:val="0"/>
                      <w:marTop w:val="0"/>
                      <w:marBottom w:val="0"/>
                      <w:divBdr>
                        <w:top w:val="none" w:sz="0" w:space="0" w:color="auto"/>
                        <w:left w:val="none" w:sz="0" w:space="0" w:color="auto"/>
                        <w:bottom w:val="none" w:sz="0" w:space="0" w:color="auto"/>
                        <w:right w:val="none" w:sz="0" w:space="0" w:color="auto"/>
                      </w:divBdr>
                      <w:divsChild>
                        <w:div w:id="473067714">
                          <w:marLeft w:val="0"/>
                          <w:marRight w:val="0"/>
                          <w:marTop w:val="0"/>
                          <w:marBottom w:val="0"/>
                          <w:divBdr>
                            <w:top w:val="none" w:sz="0" w:space="0" w:color="auto"/>
                            <w:left w:val="none" w:sz="0" w:space="0" w:color="auto"/>
                            <w:bottom w:val="none" w:sz="0" w:space="0" w:color="auto"/>
                            <w:right w:val="none" w:sz="0" w:space="0" w:color="auto"/>
                          </w:divBdr>
                          <w:divsChild>
                            <w:div w:id="473178385">
                              <w:marLeft w:val="0"/>
                              <w:marRight w:val="0"/>
                              <w:marTop w:val="0"/>
                              <w:marBottom w:val="0"/>
                              <w:divBdr>
                                <w:top w:val="none" w:sz="0" w:space="0" w:color="auto"/>
                                <w:left w:val="none" w:sz="0" w:space="0" w:color="auto"/>
                                <w:bottom w:val="none" w:sz="0" w:space="0" w:color="auto"/>
                                <w:right w:val="none" w:sz="0" w:space="0" w:color="auto"/>
                              </w:divBdr>
                              <w:divsChild>
                                <w:div w:id="1930428847">
                                  <w:marLeft w:val="0"/>
                                  <w:marRight w:val="0"/>
                                  <w:marTop w:val="300"/>
                                  <w:marBottom w:val="0"/>
                                  <w:divBdr>
                                    <w:top w:val="none" w:sz="0" w:space="0" w:color="auto"/>
                                    <w:left w:val="none" w:sz="0" w:space="0" w:color="auto"/>
                                    <w:bottom w:val="none" w:sz="0" w:space="0" w:color="auto"/>
                                    <w:right w:val="none" w:sz="0" w:space="0" w:color="auto"/>
                                  </w:divBdr>
                                  <w:divsChild>
                                    <w:div w:id="761872504">
                                      <w:marLeft w:val="0"/>
                                      <w:marRight w:val="0"/>
                                      <w:marTop w:val="0"/>
                                      <w:marBottom w:val="300"/>
                                      <w:divBdr>
                                        <w:top w:val="none" w:sz="0" w:space="0" w:color="auto"/>
                                        <w:left w:val="none" w:sz="0" w:space="0" w:color="auto"/>
                                        <w:bottom w:val="single" w:sz="18" w:space="2" w:color="BBDFFF"/>
                                        <w:right w:val="none" w:sz="0" w:space="0" w:color="auto"/>
                                      </w:divBdr>
                                    </w:div>
                                    <w:div w:id="72121329">
                                      <w:marLeft w:val="0"/>
                                      <w:marRight w:val="0"/>
                                      <w:marTop w:val="0"/>
                                      <w:marBottom w:val="0"/>
                                      <w:divBdr>
                                        <w:top w:val="none" w:sz="0" w:space="0" w:color="auto"/>
                                        <w:left w:val="none" w:sz="0" w:space="0" w:color="auto"/>
                                        <w:bottom w:val="none" w:sz="0" w:space="0" w:color="auto"/>
                                        <w:right w:val="none" w:sz="0" w:space="0" w:color="auto"/>
                                      </w:divBdr>
                                      <w:divsChild>
                                        <w:div w:id="164169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rocurement.ie/sites/default/files/circular_10-14_0.pdf" TargetMode="External"/><Relationship Id="rId5" Type="http://schemas.openxmlformats.org/officeDocument/2006/relationships/hyperlink" Target="http://www.constructionprocurement.gov.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154</Words>
  <Characters>884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Warren Jacinta</dc:creator>
  <cp:lastModifiedBy>Warren Jacinta</cp:lastModifiedBy>
  <cp:revision>1</cp:revision>
  <dcterms:created xsi:type="dcterms:W3CDTF">2014-10-15T09:27:00Z</dcterms:created>
  <dcterms:modified xsi:type="dcterms:W3CDTF">2014-10-15T09:28:00Z</dcterms:modified>
</cp:coreProperties>
</file>